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right"/>
        <w:rPr/>
      </w:pPr>
      <w:r w:rsidDel="00000000" w:rsidR="00000000" w:rsidRPr="00000000">
        <w:rPr>
          <w:rtl w:val="0"/>
        </w:rPr>
      </w:r>
    </w:p>
    <w:tbl>
      <w:tblPr>
        <w:tblStyle w:val="Table1"/>
        <w:tblW w:w="9606.0" w:type="dxa"/>
        <w:jc w:val="left"/>
        <w:tblInd w:w="10.0" w:type="dxa"/>
        <w:tblBorders>
          <w:top w:color="d5d5d5" w:space="0" w:sz="4" w:val="single"/>
          <w:bottom w:color="d5d5d5" w:space="0" w:sz="4" w:val="single"/>
        </w:tblBorders>
        <w:tblLayout w:type="fixed"/>
        <w:tblLook w:val="0000"/>
      </w:tblPr>
      <w:tblGrid>
        <w:gridCol w:w="7685"/>
        <w:gridCol w:w="1921"/>
        <w:tblGridChange w:id="0">
          <w:tblGrid>
            <w:gridCol w:w="7685"/>
            <w:gridCol w:w="1921"/>
          </w:tblGrid>
        </w:tblGridChange>
      </w:tblGrid>
      <w:tr>
        <w:trPr>
          <w:cantSplit w:val="0"/>
          <w:tblHeader w:val="0"/>
        </w:trPr>
        <w:tc>
          <w:tcPr>
            <w:shd w:fill="efefef" w:val="clear"/>
            <w:tcMar>
              <w:bottom w:w="0.0" w:type="dxa"/>
            </w:tcMar>
          </w:tcPr>
          <w:p w:rsidR="00000000" w:rsidDel="00000000" w:rsidP="00000000" w:rsidRDefault="00000000" w:rsidRPr="00000000" w14:paraId="00000002">
            <w:pPr>
              <w:spacing w:after="0" w:lineRule="auto"/>
              <w:rPr/>
            </w:pPr>
            <w:r w:rsidDel="00000000" w:rsidR="00000000" w:rsidRPr="00000000">
              <w:rPr>
                <w:rFonts w:ascii="Lato Black" w:cs="Lato Black" w:eastAsia="Lato Black" w:hAnsi="Lato Black"/>
                <w:b w:val="1"/>
                <w:rtl w:val="0"/>
              </w:rPr>
              <w:t xml:space="preserve">Policy 302.03: Superintendent Salary and Other Compensation</w:t>
            </w:r>
            <w:r w:rsidDel="00000000" w:rsidR="00000000" w:rsidRPr="00000000">
              <w:rPr>
                <w:rtl w:val="0"/>
              </w:rPr>
            </w:r>
          </w:p>
        </w:tc>
        <w:tc>
          <w:tcPr>
            <w:shd w:fill="efefef" w:val="clear"/>
            <w:tcMar>
              <w:bottom w:w="0.0" w:type="dxa"/>
            </w:tcMar>
          </w:tcPr>
          <w:p w:rsidR="00000000" w:rsidDel="00000000" w:rsidP="00000000" w:rsidRDefault="00000000" w:rsidRPr="00000000" w14:paraId="00000003">
            <w:pPr>
              <w:rPr/>
            </w:pPr>
            <w:r w:rsidDel="00000000" w:rsidR="00000000" w:rsidRPr="00000000">
              <w:rPr>
                <w:rFonts w:ascii="Lato Black" w:cs="Lato Black" w:eastAsia="Lato Black" w:hAnsi="Lato Black"/>
                <w:b w:val="1"/>
                <w:rtl w:val="0"/>
              </w:rPr>
              <w:t xml:space="preserve">Status: </w:t>
            </w:r>
            <w:r w:rsidDel="00000000" w:rsidR="00000000" w:rsidRPr="00000000">
              <w:rPr>
                <w:rFonts w:ascii="Lato" w:cs="Lato" w:eastAsia="Lato" w:hAnsi="Lato"/>
                <w:rtl w:val="0"/>
              </w:rPr>
              <w:t xml:space="preserve">ADOPTED</w:t>
            </w:r>
            <w:r w:rsidDel="00000000" w:rsidR="00000000" w:rsidRPr="00000000">
              <w:rPr>
                <w:rtl w:val="0"/>
              </w:rPr>
            </w:r>
          </w:p>
        </w:tc>
      </w:tr>
      <w:tr>
        <w:trPr>
          <w:cantSplit w:val="0"/>
          <w:tblHeader w:val="0"/>
        </w:trPr>
        <w:tc>
          <w:tcPr>
            <w:shd w:fill="efefef" w:val="clear"/>
            <w:tcMar>
              <w:bottom w:w="0.0" w:type="dxa"/>
            </w:tcMar>
          </w:tcPr>
          <w:p w:rsidR="00000000" w:rsidDel="00000000" w:rsidP="00000000" w:rsidRDefault="00000000" w:rsidRPr="00000000" w14:paraId="00000004">
            <w:pPr>
              <w:rPr/>
            </w:pPr>
            <w:r w:rsidDel="00000000" w:rsidR="00000000" w:rsidRPr="00000000">
              <w:rPr>
                <w:rFonts w:ascii="Lato Black" w:cs="Lato Black" w:eastAsia="Lato Black" w:hAnsi="Lato Black"/>
                <w:b w:val="1"/>
                <w:sz w:val="18"/>
                <w:szCs w:val="18"/>
                <w:rtl w:val="0"/>
              </w:rPr>
              <w:t xml:space="preserve">Original Adopted Date: </w:t>
            </w:r>
            <w:r w:rsidDel="00000000" w:rsidR="00000000" w:rsidRPr="00000000">
              <w:rPr>
                <w:rFonts w:ascii="Lato" w:cs="Lato" w:eastAsia="Lato" w:hAnsi="Lato"/>
                <w:sz w:val="18"/>
                <w:szCs w:val="18"/>
                <w:rtl w:val="0"/>
              </w:rPr>
              <w:t xml:space="preserve">01/17/2024</w:t>
            </w:r>
            <w:r w:rsidDel="00000000" w:rsidR="00000000" w:rsidRPr="00000000">
              <w:rPr>
                <w:rFonts w:ascii="Lato Black" w:cs="Lato Black" w:eastAsia="Lato Black" w:hAnsi="Lato Black"/>
                <w:b w:val="1"/>
                <w:sz w:val="18"/>
                <w:szCs w:val="18"/>
                <w:rtl w:val="0"/>
              </w:rPr>
              <w:t xml:space="preserve"> | Revised Date: </w:t>
            </w:r>
            <w:r w:rsidDel="00000000" w:rsidR="00000000" w:rsidRPr="00000000">
              <w:rPr>
                <w:rFonts w:ascii="Lato" w:cs="Lato" w:eastAsia="Lato" w:hAnsi="Lato"/>
                <w:sz w:val="18"/>
                <w:szCs w:val="18"/>
                <w:rtl w:val="0"/>
              </w:rPr>
              <w:t xml:space="preserve">01/17/2024</w:t>
            </w:r>
            <w:r w:rsidDel="00000000" w:rsidR="00000000" w:rsidRPr="00000000">
              <w:rPr>
                <w:rFonts w:ascii="Lato Black" w:cs="Lato Black" w:eastAsia="Lato Black" w:hAnsi="Lato Black"/>
                <w:b w:val="1"/>
                <w:sz w:val="18"/>
                <w:szCs w:val="18"/>
                <w:rtl w:val="0"/>
              </w:rPr>
              <w:t xml:space="preserve"> | Reviewed Date: </w:t>
            </w:r>
            <w:r w:rsidDel="00000000" w:rsidR="00000000" w:rsidRPr="00000000">
              <w:rPr>
                <w:rFonts w:ascii="Lato" w:cs="Lato" w:eastAsia="Lato" w:hAnsi="Lato"/>
                <w:sz w:val="18"/>
                <w:szCs w:val="18"/>
                <w:rtl w:val="0"/>
              </w:rPr>
              <w:t xml:space="preserve">01/17/2024</w:t>
            </w:r>
            <w:r w:rsidDel="00000000" w:rsidR="00000000" w:rsidRPr="00000000">
              <w:rPr>
                <w:rtl w:val="0"/>
              </w:rPr>
            </w:r>
          </w:p>
        </w:tc>
        <w:tc>
          <w:tcPr>
            <w:shd w:fill="efefef" w:val="clear"/>
            <w:tcMar>
              <w:bottom w:w="0.0" w:type="dxa"/>
            </w:tcMar>
          </w:tcPr>
          <w:p w:rsidR="00000000" w:rsidDel="00000000" w:rsidP="00000000" w:rsidRDefault="00000000" w:rsidRPr="00000000" w14:paraId="00000005">
            <w:pPr>
              <w:spacing w:after="0" w:lineRule="auto"/>
              <w:rPr/>
            </w:pPr>
            <w:r w:rsidDel="00000000" w:rsidR="00000000" w:rsidRPr="00000000">
              <w:rPr>
                <w:rtl w:val="0"/>
              </w:rPr>
            </w:r>
          </w:p>
        </w:tc>
      </w:tr>
    </w:tbl>
    <w:p w:rsidR="00000000" w:rsidDel="00000000" w:rsidP="00000000" w:rsidRDefault="00000000" w:rsidRPr="00000000" w14:paraId="00000006">
      <w:pPr>
        <w:spacing w:after="30" w:lineRule="auto"/>
        <w:jc w:val="right"/>
        <w:rPr/>
      </w:pPr>
      <w:r w:rsidDel="00000000" w:rsidR="00000000" w:rsidRPr="00000000">
        <w:rPr>
          <w:rtl w:val="0"/>
        </w:rPr>
      </w:r>
    </w:p>
    <w:p w:rsidR="00000000" w:rsidDel="00000000" w:rsidP="00000000" w:rsidRDefault="00000000" w:rsidRPr="00000000" w14:paraId="00000007">
      <w:pPr>
        <w:rPr>
          <w:rFonts w:ascii="Lato" w:cs="Lato" w:eastAsia="Lato" w:hAnsi="Lato"/>
        </w:rPr>
      </w:pPr>
      <w:bookmarkStart w:colFirst="0" w:colLast="0" w:name="_heading=h.gjdgxs" w:id="0"/>
      <w:bookmarkEnd w:id="0"/>
      <w:r w:rsidDel="00000000" w:rsidR="00000000" w:rsidRPr="00000000">
        <w:rPr>
          <w:rFonts w:ascii="Lato" w:cs="Lato" w:eastAsia="Lato" w:hAnsi="Lato"/>
          <w:rtl w:val="0"/>
        </w:rPr>
        <w:t xml:space="preserve">The Tri-County board has complete discretion to set the salary of the superintendent.  It is the responsibility of the board to set the salary and benefits of the superintendent at a level that will include consideration of, but not be limited to, the economic condition of the school district and the training, experience, skill, and demonstrated competence of the superintendent.  The salary is set at the beginning of each contract term.</w:t>
        <w:br w:type="textWrapping"/>
        <w:br w:type="textWrapping"/>
        <w:t xml:space="preserve">In addition to the salary and benefits, the superintendent's actual and necessary expenses are paid by the school district when the superintendent is performing work-related duties.  It is within the discretion of the board to pay dues to professional organizations for the superintendent.</w:t>
        <w:br w:type="textWrapping"/>
        <w:br w:type="textWrapping"/>
        <w:t xml:space="preserve">The board may approve the payment of dues and other benefits or compensation over and above the superintendent's contract.  Approval of dues and other benefits or compensation will be included in the records of the board in accordance with board policy.</w:t>
        <w:br w:type="textWrapping"/>
      </w:r>
      <w:r w:rsidDel="00000000" w:rsidR="00000000" w:rsidRPr="00000000">
        <w:rPr>
          <w:rFonts w:ascii="Lato" w:cs="Lato" w:eastAsia="Lato" w:hAnsi="Lato"/>
          <w:rtl w:val="0"/>
        </w:rPr>
        <w:br w:type="textWrapping"/>
        <w:br w:type="textWrapping"/>
        <w:t xml:space="preserve">  </w:t>
      </w:r>
    </w:p>
    <w:tbl>
      <w:tblPr>
        <w:tblStyle w:val="Table2"/>
        <w:tblW w:w="10500.0" w:type="dxa"/>
        <w:jc w:val="left"/>
        <w:tblLayout w:type="fixed"/>
        <w:tblLook w:val="0400"/>
      </w:tblPr>
      <w:tblGrid>
        <w:gridCol w:w="1875"/>
        <w:gridCol w:w="8625"/>
        <w:tblGridChange w:id="0">
          <w:tblGrid>
            <w:gridCol w:w="1875"/>
            <w:gridCol w:w="8625"/>
          </w:tblGrid>
        </w:tblGridChange>
      </w:tblGrid>
      <w:tr>
        <w:trPr>
          <w:cantSplit w:val="0"/>
          <w:tblHeader w:val="0"/>
        </w:trPr>
        <w:tc>
          <w:tcPr/>
          <w:p w:rsidR="00000000" w:rsidDel="00000000" w:rsidP="00000000" w:rsidRDefault="00000000" w:rsidRPr="00000000" w14:paraId="00000008">
            <w:pPr>
              <w:rPr>
                <w:rFonts w:ascii="Lato" w:cs="Lato" w:eastAsia="Lato" w:hAnsi="Lato"/>
              </w:rPr>
            </w:pPr>
            <w:r w:rsidDel="00000000" w:rsidR="00000000" w:rsidRPr="00000000">
              <w:rPr>
                <w:rFonts w:ascii="Lato" w:cs="Lato" w:eastAsia="Lato" w:hAnsi="Lato"/>
                <w:rtl w:val="0"/>
              </w:rPr>
              <w:t xml:space="preserve">Legal Reference:</w:t>
            </w:r>
          </w:p>
        </w:tc>
        <w:tc>
          <w:tcPr/>
          <w:p w:rsidR="00000000" w:rsidDel="00000000" w:rsidP="00000000" w:rsidRDefault="00000000" w:rsidRPr="00000000" w14:paraId="00000009">
            <w:pPr>
              <w:rPr>
                <w:rFonts w:ascii="Lato" w:cs="Lato" w:eastAsia="Lato" w:hAnsi="Lato"/>
              </w:rPr>
            </w:pPr>
            <w:r w:rsidDel="00000000" w:rsidR="00000000" w:rsidRPr="00000000">
              <w:rPr>
                <w:rFonts w:ascii="Lato" w:cs="Lato" w:eastAsia="Lato" w:hAnsi="Lato"/>
                <w:rtl w:val="0"/>
              </w:rPr>
              <w:t xml:space="preserve">Iowa Code §§ 279.8, .20.</w:t>
            </w:r>
          </w:p>
        </w:tc>
      </w:tr>
    </w:tbl>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pBdr>
          <w:bottom w:color="000000" w:space="1" w:sz="5" w:val="single"/>
        </w:pBdr>
        <w:rPr/>
      </w:pPr>
      <w:r w:rsidDel="00000000" w:rsidR="00000000" w:rsidRPr="00000000">
        <w:rPr>
          <w:rtl w:val="0"/>
        </w:rPr>
      </w:r>
    </w:p>
    <w:tbl>
      <w:tblPr>
        <w:tblStyle w:val="Table3"/>
        <w:tblW w:w="9993.0" w:type="dxa"/>
        <w:jc w:val="left"/>
        <w:tblInd w:w="10.0" w:type="dxa"/>
        <w:tblLayout w:type="fixed"/>
        <w:tblLook w:val="0000"/>
      </w:tblPr>
      <w:tblGrid>
        <w:gridCol w:w="4023"/>
        <w:gridCol w:w="5970"/>
        <w:tblGridChange w:id="0">
          <w:tblGrid>
            <w:gridCol w:w="4023"/>
            <w:gridCol w:w="5970"/>
          </w:tblGrid>
        </w:tblGridChange>
      </w:tblGrid>
      <w:tr>
        <w:trPr>
          <w:cantSplit w:val="0"/>
          <w:tblHeader w:val="0"/>
        </w:trPr>
        <w:tc>
          <w:tcPr>
            <w:tcMar>
              <w:top w:w="0.0" w:type="dxa"/>
              <w:bottom w:w="0.0" w:type="dxa"/>
            </w:tcMar>
          </w:tcPr>
          <w:p w:rsidR="00000000" w:rsidDel="00000000" w:rsidP="00000000" w:rsidRDefault="00000000" w:rsidRPr="00000000" w14:paraId="0000000C">
            <w:pPr>
              <w:spacing w:after="0" w:lineRule="auto"/>
              <w:rPr/>
            </w:pPr>
            <w:r w:rsidDel="00000000" w:rsidR="00000000" w:rsidRPr="00000000">
              <w:rPr>
                <w:rFonts w:ascii="Lato Black" w:cs="Lato Black" w:eastAsia="Lato Black" w:hAnsi="Lato Black"/>
                <w:b w:val="1"/>
                <w:rtl w:val="0"/>
              </w:rPr>
              <w:t xml:space="preserve">I.C. Iowa Code</w:t>
            </w:r>
            <w:r w:rsidDel="00000000" w:rsidR="00000000" w:rsidRPr="00000000">
              <w:rPr>
                <w:rtl w:val="0"/>
              </w:rPr>
            </w:r>
          </w:p>
        </w:tc>
        <w:tc>
          <w:tcPr>
            <w:tcMar>
              <w:top w:w="0.0" w:type="dxa"/>
              <w:bottom w:w="0.0" w:type="dxa"/>
            </w:tcMar>
          </w:tcPr>
          <w:p w:rsidR="00000000" w:rsidDel="00000000" w:rsidP="00000000" w:rsidRDefault="00000000" w:rsidRPr="00000000" w14:paraId="0000000D">
            <w:pPr>
              <w:spacing w:after="0" w:lineRule="auto"/>
              <w:rPr/>
            </w:pPr>
            <w:r w:rsidDel="00000000" w:rsidR="00000000" w:rsidRPr="00000000">
              <w:rPr>
                <w:rFonts w:ascii="Lato Black" w:cs="Lato Black" w:eastAsia="Lato Black" w:hAnsi="Lato Black"/>
                <w:b w:val="1"/>
                <w:rtl w:val="0"/>
              </w:rPr>
              <w:t xml:space="preserve">Description</w:t>
            </w:r>
            <w:r w:rsidDel="00000000" w:rsidR="00000000" w:rsidRPr="00000000">
              <w:rPr>
                <w:rtl w:val="0"/>
              </w:rPr>
            </w:r>
          </w:p>
        </w:tc>
      </w:tr>
      <w:tr>
        <w:trPr>
          <w:cantSplit w:val="0"/>
          <w:tblHeader w:val="0"/>
        </w:trPr>
        <w:tc>
          <w:tcPr>
            <w:tcMar>
              <w:top w:w="0.0" w:type="dxa"/>
              <w:bottom w:w="0.0" w:type="dxa"/>
            </w:tcMar>
          </w:tcPr>
          <w:p w:rsidR="00000000" w:rsidDel="00000000" w:rsidP="00000000" w:rsidRDefault="00000000" w:rsidRPr="00000000" w14:paraId="0000000E">
            <w:pPr>
              <w:spacing w:after="0" w:lineRule="auto"/>
              <w:rPr/>
            </w:pPr>
            <w:r w:rsidDel="00000000" w:rsidR="00000000" w:rsidRPr="00000000">
              <w:rPr>
                <w:rFonts w:ascii="Lato" w:cs="Lato" w:eastAsia="Lato" w:hAnsi="Lato"/>
                <w:rtl w:val="0"/>
              </w:rPr>
              <w:t xml:space="preserve">Iowa Code  § 279.8</w:t>
            </w:r>
            <w:r w:rsidDel="00000000" w:rsidR="00000000" w:rsidRPr="00000000">
              <w:rPr>
                <w:rtl w:val="0"/>
              </w:rPr>
            </w:r>
          </w:p>
        </w:tc>
        <w:tc>
          <w:tcPr>
            <w:tcMar>
              <w:top w:w="0.0" w:type="dxa"/>
              <w:bottom w:w="0.0" w:type="dxa"/>
            </w:tcMar>
          </w:tcPr>
          <w:p w:rsidR="00000000" w:rsidDel="00000000" w:rsidP="00000000" w:rsidRDefault="00000000" w:rsidRPr="00000000" w14:paraId="0000000F">
            <w:pPr>
              <w:rPr/>
            </w:pPr>
            <w:hyperlink r:id="rId7">
              <w:r w:rsidDel="00000000" w:rsidR="00000000" w:rsidRPr="00000000">
                <w:rPr>
                  <w:rFonts w:ascii="Lato" w:cs="Lato" w:eastAsia="Lato" w:hAnsi="Lato"/>
                  <w:color w:val="0563c1"/>
                  <w:u w:val="single"/>
                  <w:rtl w:val="0"/>
                </w:rPr>
                <w:t xml:space="preserve">Directors - General Rules - Bonds of Employees</w:t>
              </w:r>
            </w:hyperlink>
            <w:r w:rsidDel="00000000" w:rsidR="00000000" w:rsidRPr="00000000">
              <w:rPr>
                <w:rtl w:val="0"/>
              </w:rPr>
            </w:r>
          </w:p>
        </w:tc>
      </w:tr>
      <w:tr>
        <w:trPr>
          <w:cantSplit w:val="0"/>
          <w:tblHeader w:val="0"/>
        </w:trPr>
        <w:tc>
          <w:tcPr>
            <w:tcMar>
              <w:top w:w="0.0" w:type="dxa"/>
              <w:bottom w:w="0.0" w:type="dxa"/>
            </w:tcMar>
          </w:tcPr>
          <w:p w:rsidR="00000000" w:rsidDel="00000000" w:rsidP="00000000" w:rsidRDefault="00000000" w:rsidRPr="00000000" w14:paraId="00000010">
            <w:pPr>
              <w:spacing w:after="0" w:lineRule="auto"/>
              <w:rPr/>
            </w:pPr>
            <w:r w:rsidDel="00000000" w:rsidR="00000000" w:rsidRPr="00000000">
              <w:rPr>
                <w:rFonts w:ascii="Lato" w:cs="Lato" w:eastAsia="Lato" w:hAnsi="Lato"/>
                <w:rtl w:val="0"/>
              </w:rPr>
              <w:t xml:space="preserve">Iowa Code § 279.20</w:t>
            </w:r>
            <w:r w:rsidDel="00000000" w:rsidR="00000000" w:rsidRPr="00000000">
              <w:rPr>
                <w:rtl w:val="0"/>
              </w:rPr>
            </w:r>
          </w:p>
        </w:tc>
        <w:tc>
          <w:tcPr>
            <w:tcMar>
              <w:top w:w="0.0" w:type="dxa"/>
              <w:bottom w:w="0.0" w:type="dxa"/>
            </w:tcMar>
          </w:tcPr>
          <w:p w:rsidR="00000000" w:rsidDel="00000000" w:rsidP="00000000" w:rsidRDefault="00000000" w:rsidRPr="00000000" w14:paraId="00000011">
            <w:pPr>
              <w:rPr/>
            </w:pPr>
            <w:hyperlink r:id="rId8">
              <w:r w:rsidDel="00000000" w:rsidR="00000000" w:rsidRPr="00000000">
                <w:rPr>
                  <w:rFonts w:ascii="Lato" w:cs="Lato" w:eastAsia="Lato" w:hAnsi="Lato"/>
                  <w:color w:val="0563c1"/>
                  <w:u w:val="single"/>
                  <w:rtl w:val="0"/>
                </w:rPr>
                <w:t xml:space="preserve">Superintendent - Term</w:t>
              </w:r>
            </w:hyperlink>
            <w:r w:rsidDel="00000000" w:rsidR="00000000" w:rsidRPr="00000000">
              <w:rPr>
                <w:rtl w:val="0"/>
              </w:rPr>
            </w:r>
          </w:p>
        </w:tc>
      </w:tr>
    </w:tbl>
    <w:p w:rsidR="00000000" w:rsidDel="00000000" w:rsidP="00000000" w:rsidRDefault="00000000" w:rsidRPr="00000000" w14:paraId="00000012">
      <w:pPr>
        <w:shd w:fill="f9f9f9" w:val="clear"/>
        <w:spacing w:line="480" w:lineRule="auto"/>
        <w:rPr>
          <w:rFonts w:ascii="Lato Black" w:cs="Lato Black" w:eastAsia="Lato Black" w:hAnsi="Lato Black"/>
          <w:b w:val="1"/>
        </w:rPr>
      </w:pPr>
      <w:r w:rsidDel="00000000" w:rsidR="00000000" w:rsidRPr="00000000">
        <w:rPr>
          <w:rFonts w:ascii="Lato Black" w:cs="Lato Black" w:eastAsia="Lato Black" w:hAnsi="Lato Black"/>
          <w:b w:val="1"/>
          <w:rtl w:val="0"/>
        </w:rPr>
        <w:t xml:space="preserve">Cross References</w:t>
      </w:r>
    </w:p>
    <w:tbl>
      <w:tblPr>
        <w:tblStyle w:val="Table4"/>
        <w:tblW w:w="9993.0" w:type="dxa"/>
        <w:jc w:val="left"/>
        <w:tblInd w:w="10.0" w:type="dxa"/>
        <w:tblLayout w:type="fixed"/>
        <w:tblLook w:val="0000"/>
      </w:tblPr>
      <w:tblGrid>
        <w:gridCol w:w="4023"/>
        <w:gridCol w:w="5970"/>
        <w:tblGridChange w:id="0">
          <w:tblGrid>
            <w:gridCol w:w="4023"/>
            <w:gridCol w:w="5970"/>
          </w:tblGrid>
        </w:tblGridChange>
      </w:tblGrid>
      <w:tr>
        <w:trPr>
          <w:cantSplit w:val="0"/>
          <w:tblHeader w:val="0"/>
        </w:trPr>
        <w:tc>
          <w:tcPr>
            <w:tcMar>
              <w:top w:w="0.0" w:type="dxa"/>
              <w:bottom w:w="0.0" w:type="dxa"/>
            </w:tcMar>
          </w:tcPr>
          <w:p w:rsidR="00000000" w:rsidDel="00000000" w:rsidP="00000000" w:rsidRDefault="00000000" w:rsidRPr="00000000" w14:paraId="00000013">
            <w:pPr>
              <w:spacing w:after="0" w:lineRule="auto"/>
              <w:rPr/>
            </w:pPr>
            <w:r w:rsidDel="00000000" w:rsidR="00000000" w:rsidRPr="00000000">
              <w:rPr>
                <w:rFonts w:ascii="Lato Black" w:cs="Lato Black" w:eastAsia="Lato Black" w:hAnsi="Lato Black"/>
                <w:b w:val="1"/>
                <w:rtl w:val="0"/>
              </w:rPr>
              <w:t xml:space="preserve">Code</w:t>
            </w:r>
            <w:r w:rsidDel="00000000" w:rsidR="00000000" w:rsidRPr="00000000">
              <w:rPr>
                <w:rtl w:val="0"/>
              </w:rPr>
            </w:r>
          </w:p>
        </w:tc>
        <w:tc>
          <w:tcPr>
            <w:tcMar>
              <w:top w:w="0.0" w:type="dxa"/>
              <w:bottom w:w="0.0" w:type="dxa"/>
            </w:tcMar>
          </w:tcPr>
          <w:p w:rsidR="00000000" w:rsidDel="00000000" w:rsidP="00000000" w:rsidRDefault="00000000" w:rsidRPr="00000000" w14:paraId="00000014">
            <w:pPr>
              <w:spacing w:after="0" w:lineRule="auto"/>
              <w:rPr/>
            </w:pPr>
            <w:r w:rsidDel="00000000" w:rsidR="00000000" w:rsidRPr="00000000">
              <w:rPr>
                <w:rFonts w:ascii="Lato Black" w:cs="Lato Black" w:eastAsia="Lato Black" w:hAnsi="Lato Black"/>
                <w:b w:val="1"/>
                <w:rtl w:val="0"/>
              </w:rPr>
              <w:t xml:space="preserve">Description</w:t>
            </w:r>
            <w:r w:rsidDel="00000000" w:rsidR="00000000" w:rsidRPr="00000000">
              <w:rPr>
                <w:rtl w:val="0"/>
              </w:rPr>
            </w:r>
          </w:p>
        </w:tc>
      </w:tr>
      <w:tr>
        <w:trPr>
          <w:cantSplit w:val="0"/>
          <w:tblHeader w:val="0"/>
        </w:trPr>
        <w:tc>
          <w:tcPr>
            <w:tcMar>
              <w:top w:w="0.0" w:type="dxa"/>
              <w:bottom w:w="0.0" w:type="dxa"/>
            </w:tcMar>
          </w:tcPr>
          <w:p w:rsidR="00000000" w:rsidDel="00000000" w:rsidP="00000000" w:rsidRDefault="00000000" w:rsidRPr="00000000" w14:paraId="00000015">
            <w:pPr>
              <w:spacing w:after="0" w:lineRule="auto"/>
              <w:rPr/>
            </w:pPr>
            <w:r w:rsidDel="00000000" w:rsidR="00000000" w:rsidRPr="00000000">
              <w:rPr>
                <w:rFonts w:ascii="Lato" w:cs="Lato" w:eastAsia="Lato" w:hAnsi="Lato"/>
                <w:rtl w:val="0"/>
              </w:rPr>
              <w:t xml:space="preserve">302.07</w:t>
            </w:r>
            <w:r w:rsidDel="00000000" w:rsidR="00000000" w:rsidRPr="00000000">
              <w:rPr>
                <w:rtl w:val="0"/>
              </w:rPr>
            </w:r>
          </w:p>
        </w:tc>
        <w:tc>
          <w:tcPr>
            <w:tcMar>
              <w:top w:w="0.0" w:type="dxa"/>
              <w:bottom w:w="0.0" w:type="dxa"/>
            </w:tcMar>
          </w:tcPr>
          <w:p w:rsidR="00000000" w:rsidDel="00000000" w:rsidP="00000000" w:rsidRDefault="00000000" w:rsidRPr="00000000" w14:paraId="00000016">
            <w:pPr>
              <w:rPr/>
            </w:pPr>
            <w:hyperlink r:id="rId9">
              <w:r w:rsidDel="00000000" w:rsidR="00000000" w:rsidRPr="00000000">
                <w:rPr>
                  <w:rFonts w:ascii="Lato" w:cs="Lato" w:eastAsia="Lato" w:hAnsi="Lato"/>
                  <w:color w:val="0563c1"/>
                  <w:u w:val="single"/>
                  <w:rtl w:val="0"/>
                </w:rPr>
                <w:t xml:space="preserve">Superintendent Civic Activities</w:t>
              </w:r>
            </w:hyperlink>
            <w:r w:rsidDel="00000000" w:rsidR="00000000" w:rsidRPr="00000000">
              <w:rPr>
                <w:rtl w:val="0"/>
              </w:rPr>
            </w:r>
          </w:p>
        </w:tc>
      </w:tr>
    </w:tbl>
    <w:p w:rsidR="00000000" w:rsidDel="00000000" w:rsidP="00000000" w:rsidRDefault="00000000" w:rsidRPr="00000000" w14:paraId="00000017">
      <w:pPr>
        <w:rPr/>
      </w:pPr>
      <w:r w:rsidDel="00000000" w:rsidR="00000000" w:rsidRPr="00000000">
        <w:rPr>
          <w:rtl w:val="0"/>
        </w:rPr>
      </w:r>
    </w:p>
    <w:sectPr>
      <w:pgSz w:h="15840" w:w="12240" w:orient="portrait"/>
      <w:pgMar w:bottom="402" w:top="617" w:left="1434" w:right="120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La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Lato Black">
    <w:embedBold w:fontKey="{00000000-0000-0000-0000-000000000000}" r:id="rId5" w:subsetted="0"/>
    <w:embedBoldItalic w:fontKey="{00000000-0000-0000-0000-000000000000}" r:id="rId6"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Strong">
    <w:name w:val="Strong"/>
    <w:basedOn w:val="DefaultParagraphFont"/>
    <w:uiPriority w:val="22"/>
    <w:qFormat w:val="1"/>
    <w:rPr>
      <w:b w:val="1"/>
      <w:bCs w:val="1"/>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 w:type="dxa"/>
        <w:bottom w:w="0.0" w:type="dxa"/>
        <w:right w:w="10.0" w:type="dxa"/>
      </w:tblCellMar>
    </w:tblPr>
  </w:style>
  <w:style w:type="table" w:styleId="Table2">
    <w:basedOn w:val="TableNormal"/>
    <w:tblPr>
      <w:tblStyleRowBandSize w:val="1"/>
      <w:tblStyleColBandSize w:val="1"/>
      <w:tblCellMar>
        <w:top w:w="45.0" w:type="dxa"/>
        <w:left w:w="45.0" w:type="dxa"/>
        <w:bottom w:w="45.0" w:type="dxa"/>
        <w:right w:w="45.0" w:type="dxa"/>
      </w:tblCellMar>
    </w:tblPr>
  </w:style>
  <w:style w:type="table" w:styleId="Table3">
    <w:basedOn w:val="TableNormal"/>
    <w:tblPr>
      <w:tblStyleRowBandSize w:val="1"/>
      <w:tblStyleColBandSize w:val="1"/>
      <w:tblCellMar>
        <w:top w:w="0.0" w:type="dxa"/>
        <w:left w:w="10.0" w:type="dxa"/>
        <w:bottom w:w="0.0" w:type="dxa"/>
        <w:right w:w="10.0" w:type="dxa"/>
      </w:tblCellMar>
    </w:tblPr>
  </w:style>
  <w:style w:type="table" w:styleId="Table4">
    <w:basedOn w:val="TableNormal"/>
    <w:tblPr>
      <w:tblStyleRowBandSize w:val="1"/>
      <w:tblStyleColBandSize w:val="1"/>
      <w:tblCellMar>
        <w:top w:w="0.0" w:type="dxa"/>
        <w:left w:w="10.0" w:type="dxa"/>
        <w:bottom w:w="0.0" w:type="dxa"/>
        <w:right w:w="1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simbli.eboardsolutions.com/Policy/ViewPolicy.aspx?S=36031104&amp;revid=KGFMhP3t51slshsK365XiA2Uw=="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legis.iowa.gov/docs/code/279.8.pdf" TargetMode="External"/><Relationship Id="rId8" Type="http://schemas.openxmlformats.org/officeDocument/2006/relationships/hyperlink" Target="https://www.legis.iowa.gov/docs/code/279.20.pdf"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Lato-regular.ttf"/><Relationship Id="rId2" Type="http://schemas.openxmlformats.org/officeDocument/2006/relationships/font" Target="fonts/Lato-bold.ttf"/><Relationship Id="rId3" Type="http://schemas.openxmlformats.org/officeDocument/2006/relationships/font" Target="fonts/Lato-italic.ttf"/><Relationship Id="rId4" Type="http://schemas.openxmlformats.org/officeDocument/2006/relationships/font" Target="fonts/Lato-boldItalic.ttf"/><Relationship Id="rId5" Type="http://schemas.openxmlformats.org/officeDocument/2006/relationships/font" Target="fonts/LatoBlack-bold.ttf"/><Relationship Id="rId6" Type="http://schemas.openxmlformats.org/officeDocument/2006/relationships/font" Target="fonts/LatoBlack-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wLDBqn5LeL8PfU+cVTWYOy0VpSQ==">CgMxLjAyCGguZ2pkZ3hzOAByITFRR1NGRkhEWkpUSUhxcE04LWxHX3draHNaZV9lWnp0Vg==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2024-02-15T14:54:00Z</dcterms:created>
  <dc:creator>Linda Heisdorffer</dc:creator>
</cp:coreProperties>
</file>